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30" w:line="276" w:lineRule="auto"/>
        <w:jc w:val="center"/>
        <w:rPr>
          <w:b w:val="1"/>
          <w:color w:val="c00000"/>
          <w:sz w:val="30"/>
          <w:szCs w:val="30"/>
        </w:rPr>
      </w:pPr>
      <w:r w:rsidDel="00000000" w:rsidR="00000000" w:rsidRPr="00000000">
        <w:rPr>
          <w:b w:val="1"/>
          <w:color w:val="c00000"/>
          <w:sz w:val="30"/>
          <w:szCs w:val="30"/>
          <w:rtl w:val="0"/>
        </w:rPr>
        <w:t xml:space="preserve">Platební podmínky opakované platby</w:t>
      </w:r>
    </w:p>
    <w:p w:rsidR="00000000" w:rsidDel="00000000" w:rsidP="00000000" w:rsidRDefault="00000000" w:rsidRPr="00000000" w14:paraId="00000002">
      <w:pPr>
        <w:spacing w:after="240" w:before="280" w:line="276" w:lineRule="auto"/>
        <w:jc w:val="both"/>
        <w:rPr>
          <w:sz w:val="20"/>
          <w:szCs w:val="20"/>
        </w:rPr>
      </w:pPr>
      <w:r w:rsidDel="00000000" w:rsidR="00000000" w:rsidRPr="00000000">
        <w:rPr>
          <w:sz w:val="20"/>
          <w:szCs w:val="20"/>
          <w:rtl w:val="0"/>
        </w:rPr>
        <w:t xml:space="preserve">Tento dokument (dále jen „</w:t>
      </w:r>
      <w:r w:rsidDel="00000000" w:rsidR="00000000" w:rsidRPr="00000000">
        <w:rPr>
          <w:b w:val="1"/>
          <w:sz w:val="20"/>
          <w:szCs w:val="20"/>
          <w:rtl w:val="0"/>
        </w:rPr>
        <w:t xml:space="preserve">Podmínky</w:t>
      </w:r>
      <w:r w:rsidDel="00000000" w:rsidR="00000000" w:rsidRPr="00000000">
        <w:rPr>
          <w:sz w:val="20"/>
          <w:szCs w:val="20"/>
          <w:rtl w:val="0"/>
        </w:rPr>
        <w:t xml:space="preserve">“) obsahuje podmínky opakovaných plateb pro Kupující v případě zakoupení produktu Členství popsaného zde: </w:t>
      </w:r>
      <w:hyperlink r:id="rId7">
        <w:r w:rsidDel="00000000" w:rsidR="00000000" w:rsidRPr="00000000">
          <w:rPr>
            <w:b w:val="1"/>
            <w:color w:val="1155cc"/>
            <w:sz w:val="20"/>
            <w:szCs w:val="20"/>
            <w:u w:val="single"/>
            <w:rtl w:val="0"/>
          </w:rPr>
          <w:t xml:space="preserve">https://nicola.salon</w:t>
        </w:r>
      </w:hyperlink>
      <w:r w:rsidDel="00000000" w:rsidR="00000000" w:rsidRPr="00000000">
        <w:rPr>
          <w:sz w:val="20"/>
          <w:szCs w:val="20"/>
          <w:rtl w:val="0"/>
        </w:rPr>
        <w:t xml:space="preserve">. Uzavření Smlouvy mezi Kupujícím a Prodávajícím je dále upraveno ve Všeobecných obchodních podmínkách Prodávajícího dostupných na internetové adrese </w:t>
      </w:r>
      <w:hyperlink r:id="rId8">
        <w:r w:rsidDel="00000000" w:rsidR="00000000" w:rsidRPr="00000000">
          <w:rPr>
            <w:b w:val="1"/>
            <w:color w:val="1155cc"/>
            <w:sz w:val="20"/>
            <w:szCs w:val="20"/>
            <w:u w:val="single"/>
            <w:rtl w:val="0"/>
          </w:rPr>
          <w:t xml:space="preserve">https://nicola.salon</w:t>
        </w:r>
      </w:hyperlink>
      <w:r w:rsidDel="00000000" w:rsidR="00000000" w:rsidRPr="00000000">
        <w:rPr>
          <w:b w:val="1"/>
          <w:sz w:val="20"/>
          <w:szCs w:val="20"/>
          <w:rtl w:val="0"/>
        </w:rPr>
        <w:t xml:space="preserve"> </w:t>
      </w:r>
      <w:r w:rsidDel="00000000" w:rsidR="00000000" w:rsidRPr="00000000">
        <w:rPr>
          <w:sz w:val="20"/>
          <w:szCs w:val="20"/>
          <w:rtl w:val="0"/>
        </w:rPr>
        <w:t xml:space="preserve">(dále jen „</w:t>
      </w:r>
      <w:r w:rsidDel="00000000" w:rsidR="00000000" w:rsidRPr="00000000">
        <w:rPr>
          <w:b w:val="1"/>
          <w:sz w:val="20"/>
          <w:szCs w:val="20"/>
          <w:rtl w:val="0"/>
        </w:rPr>
        <w:t xml:space="preserve">VOP</w:t>
      </w:r>
      <w:r w:rsidDel="00000000" w:rsidR="00000000" w:rsidRPr="00000000">
        <w:rPr>
          <w:sz w:val="20"/>
          <w:szCs w:val="20"/>
          <w:rtl w:val="0"/>
        </w:rPr>
        <w:t xml:space="preserve">“). Tyto Podmínky jsou spolu s VOP nedílnou součástí Smlouvy. Zasláním objednávky Prodávajícímu Kupující vyjadřuje, že se s těmito Podmínkami seznámil, že s nimi souhlasí a zavazuje se je plně dodržovat.</w:t>
      </w:r>
    </w:p>
    <w:p w:rsidR="00000000" w:rsidDel="00000000" w:rsidP="00000000" w:rsidRDefault="00000000" w:rsidRPr="00000000" w14:paraId="00000003">
      <w:pPr>
        <w:spacing w:after="240" w:before="280" w:line="276" w:lineRule="auto"/>
        <w:jc w:val="both"/>
        <w:rPr>
          <w:sz w:val="20"/>
          <w:szCs w:val="20"/>
        </w:rPr>
      </w:pPr>
      <w:r w:rsidDel="00000000" w:rsidR="00000000" w:rsidRPr="00000000">
        <w:rPr>
          <w:sz w:val="20"/>
          <w:szCs w:val="20"/>
          <w:rtl w:val="0"/>
        </w:rPr>
        <w:t xml:space="preserve">Slova začínající velkým písmenem mají význam definovaný ve VOP, není-li v těchto Podmínkách výslovně uvedeno jinak.</w:t>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276" w:lineRule="auto"/>
        <w:ind w:left="426" w:right="0" w:hanging="14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Obecné platební podmínky</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Obecné platební podmínky jsou popsány v části A., článku IV. VOP.</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Platební metody jsou napojeny na platební bránu společnosti GOPAY s. r. o., se sídlem Planá 67, 370 01 České Budějovice, IČ: 260 467 68, která poskytuje technologii bezpečného zpracovávání online plateb. Čísla platebních karet, kreditních karet a hesla k elektronickému bankovnictví zadáváte pomocí šifrovaného kanálu společnosti GOPAY s. r. o., se sídlem Planá 67, 370 01 České Budějovice, IČ: 260 467 68. S údaji platební karty GoPay nakládá podle mezinárodního bezpečnostního standardu PCI-DSS Level 1 (jedná se o nejvyšší úroveň datové bezpečnosti v sektoru zpracovávání platebních karet).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Opakovaná měsíční platba</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630" w:right="0" w:hanging="63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případě, že předmětem koupě je produkt "Členství" s pravidelným měsíčním členským poplatkem, využívá Prodávající k uhrazení členského poplatku automatické opakované platby kartou (tzv. reccuring payments). Vyplněním prodejního formuláře se Kupující zavazuje po dobu (1) jednoho roku (s možností zrušení popsanou níže) hradit pravidelný měsíční členský poplatek ve výši, kterou si sám určí a zřetelně a jasně uvede v objednávce (maximálně 10.000 Kč ročně nebo ekvivalent v eurech) a to po celou dobu trvání Členství (výše poplatku je fixní po celou dobu trvání členství). Vyplněním prodejního formuláře Kupující dává souhlas, aby členský poplatek (v předem jasně uvedené výši) byl každých 30 dní (počínaje datem objednávky) automaticky vyúčtován k tíži platební karty Kupujícího, </w:t>
      </w:r>
      <w:r w:rsidDel="00000000" w:rsidR="00000000" w:rsidRPr="00000000">
        <w:rPr>
          <w:sz w:val="20"/>
          <w:szCs w:val="20"/>
          <w:rtl w:val="0"/>
        </w:rPr>
        <w:t xml:space="preserve">již</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byla provedena první úhrada, a to po celou dobu trvání Členství (frekvence opakované platby je fixní). </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630" w:right="0" w:hanging="6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Změna nastavení opakované platby je možná po individuální domluvě. Za tím účelem může Kupující kontaktovat Prodávajícího na emailové adrese: </w:t>
      </w:r>
      <w:hyperlink r:id="rId9">
        <w:r w:rsidDel="00000000" w:rsidR="00000000" w:rsidRPr="00000000">
          <w:rPr>
            <w:color w:val="1155cc"/>
            <w:sz w:val="20"/>
            <w:szCs w:val="20"/>
            <w:u w:val="single"/>
            <w:rtl w:val="0"/>
          </w:rPr>
          <w:t xml:space="preserve">info@nicola.salon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0"/>
          <w:i w:val="0"/>
          <w:smallCaps w:val="0"/>
          <w:strike w:val="0"/>
          <w:color w:val="1c1e21"/>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Upozornění na automatickou platbu a ukončení Členství</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případě, že objednávka podléhá opakované platbě, Kupující je vždy jasně informován na prodejní stránce produktu o výši pravidelného měsíčního poplatku i o způsobu, jak je možné Členství ukončit a zastavit tak opakované účtování plateb. V případě, že Kupující vyplní objednávku, která opakovanou platbu zahrnuje, zašle mu Prodávající do dvou pracovních dnů od provedení první platby potvrzení o nastavení opakované platby prostřednictvím e-mailu uvedeného v objednávce.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Členství může Kupující kdykoliv ukončit kontaktováním Prodávajícího na adrese: </w:t>
      </w:r>
      <w:hyperlink r:id="rId10">
        <w:r w:rsidDel="00000000" w:rsidR="00000000" w:rsidRPr="00000000">
          <w:rPr>
            <w:color w:val="1155cc"/>
            <w:sz w:val="20"/>
            <w:szCs w:val="20"/>
            <w:u w:val="single"/>
            <w:rtl w:val="0"/>
          </w:rPr>
          <w:t xml:space="preserve">info@nicola.salon</w:t>
        </w:r>
      </w:hyperlink>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Ukončením Členství je pravidelná platba do budoucna zrušena a členský poplatek nebude nadále účtován. Již uhrazené členské poplatky se nevrací. Ukončením Členství se Kupující vzdává všech výsad a výhod, které mu Členství přinášelo.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spacing w:before="280" w:line="276" w:lineRule="auto"/>
        <w:jc w:val="both"/>
        <w:rPr>
          <w:sz w:val="20"/>
          <w:szCs w:val="20"/>
        </w:rPr>
      </w:pPr>
      <w:r w:rsidDel="00000000" w:rsidR="00000000" w:rsidRPr="00000000">
        <w:rPr>
          <w:sz w:val="20"/>
          <w:szCs w:val="20"/>
          <w:rtl w:val="0"/>
        </w:rPr>
        <w:t xml:space="preserve">V Praze dne 11. 7. 2024</w:t>
      </w:r>
    </w:p>
    <w:sectPr>
      <w:pgSz w:h="16838" w:w="11906" w:orient="portrait"/>
      <w:pgMar w:bottom="990"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3.%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2.%1."/>
      <w:lvlJc w:val="left"/>
      <w:pPr>
        <w:ind w:left="1287" w:hanging="360.000000000000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right"/>
      <w:pPr>
        <w:ind w:left="1211"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semiHidden w:val="1"/>
    <w:unhideWhenUsed w:val="1"/>
    <w:qFormat w:val="1"/>
    <w:rsid w:val="00F32782"/>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D66C9C"/>
    <w:rPr>
      <w:b w:val="1"/>
      <w:bCs w:val="1"/>
    </w:rPr>
  </w:style>
  <w:style w:type="paragraph" w:styleId="NormalWeb">
    <w:name w:val="Normal (Web)"/>
    <w:basedOn w:val="Normal"/>
    <w:uiPriority w:val="99"/>
    <w:semiHidden w:val="1"/>
    <w:unhideWhenUsed w:val="1"/>
    <w:rsid w:val="00D66C9C"/>
    <w:pPr>
      <w:spacing w:after="100" w:afterAutospacing="1" w:before="100" w:beforeAutospacing="1" w:line="240" w:lineRule="auto"/>
    </w:pPr>
    <w:rPr>
      <w:rFonts w:ascii="Times New Roman" w:cs="Times New Roman" w:eastAsia="Times New Roman" w:hAnsi="Times New Roman"/>
      <w:bCs w:val="1"/>
      <w:iCs w:val="1"/>
      <w:sz w:val="24"/>
      <w:szCs w:val="24"/>
      <w:lang w:bidi="hi-IN" w:val="en-US"/>
    </w:rPr>
  </w:style>
  <w:style w:type="character" w:styleId="CommentReference">
    <w:name w:val="annotation reference"/>
    <w:basedOn w:val="DefaultParagraphFont"/>
    <w:uiPriority w:val="99"/>
    <w:semiHidden w:val="1"/>
    <w:unhideWhenUsed w:val="1"/>
    <w:rsid w:val="006313DB"/>
    <w:rPr>
      <w:sz w:val="16"/>
      <w:szCs w:val="16"/>
    </w:rPr>
  </w:style>
  <w:style w:type="paragraph" w:styleId="CommentText">
    <w:name w:val="annotation text"/>
    <w:basedOn w:val="Normal"/>
    <w:link w:val="CommentTextChar"/>
    <w:uiPriority w:val="99"/>
    <w:unhideWhenUsed w:val="1"/>
    <w:rsid w:val="006313DB"/>
    <w:pPr>
      <w:spacing w:line="240" w:lineRule="auto"/>
    </w:pPr>
    <w:rPr>
      <w:sz w:val="20"/>
      <w:szCs w:val="20"/>
    </w:rPr>
  </w:style>
  <w:style w:type="character" w:styleId="CommentTextChar" w:customStyle="1">
    <w:name w:val="Comment Text Char"/>
    <w:basedOn w:val="DefaultParagraphFont"/>
    <w:link w:val="CommentText"/>
    <w:uiPriority w:val="99"/>
    <w:rsid w:val="006313DB"/>
    <w:rPr>
      <w:sz w:val="20"/>
      <w:szCs w:val="20"/>
    </w:rPr>
  </w:style>
  <w:style w:type="paragraph" w:styleId="CommentSubject">
    <w:name w:val="annotation subject"/>
    <w:basedOn w:val="CommentText"/>
    <w:next w:val="CommentText"/>
    <w:link w:val="CommentSubjectChar"/>
    <w:uiPriority w:val="99"/>
    <w:semiHidden w:val="1"/>
    <w:unhideWhenUsed w:val="1"/>
    <w:rsid w:val="006313DB"/>
    <w:rPr>
      <w:b w:val="1"/>
      <w:bCs w:val="1"/>
    </w:rPr>
  </w:style>
  <w:style w:type="character" w:styleId="CommentSubjectChar" w:customStyle="1">
    <w:name w:val="Comment Subject Char"/>
    <w:basedOn w:val="CommentTextChar"/>
    <w:link w:val="CommentSubject"/>
    <w:uiPriority w:val="99"/>
    <w:semiHidden w:val="1"/>
    <w:rsid w:val="006313DB"/>
    <w:rPr>
      <w:b w:val="1"/>
      <w:bCs w:val="1"/>
      <w:sz w:val="20"/>
      <w:szCs w:val="20"/>
    </w:rPr>
  </w:style>
  <w:style w:type="paragraph" w:styleId="BalloonText">
    <w:name w:val="Balloon Text"/>
    <w:basedOn w:val="Normal"/>
    <w:link w:val="BalloonTextChar"/>
    <w:uiPriority w:val="99"/>
    <w:semiHidden w:val="1"/>
    <w:unhideWhenUsed w:val="1"/>
    <w:rsid w:val="006313D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313DB"/>
    <w:rPr>
      <w:rFonts w:ascii="Segoe UI" w:cs="Segoe UI" w:hAnsi="Segoe UI"/>
      <w:sz w:val="18"/>
      <w:szCs w:val="18"/>
    </w:rPr>
  </w:style>
  <w:style w:type="character" w:styleId="Hyperlink">
    <w:name w:val="Hyperlink"/>
    <w:basedOn w:val="DefaultParagraphFont"/>
    <w:uiPriority w:val="99"/>
    <w:unhideWhenUsed w:val="1"/>
    <w:rsid w:val="00447815"/>
    <w:rPr>
      <w:color w:val="0563c1" w:themeColor="hyperlink"/>
      <w:u w:val="single"/>
    </w:rPr>
  </w:style>
  <w:style w:type="character" w:styleId="Heading2Char" w:customStyle="1">
    <w:name w:val="Heading 2 Char"/>
    <w:basedOn w:val="DefaultParagraphFont"/>
    <w:link w:val="Heading2"/>
    <w:uiPriority w:val="9"/>
    <w:semiHidden w:val="1"/>
    <w:rsid w:val="00F32782"/>
    <w:rPr>
      <w:rFonts w:asciiTheme="majorHAnsi" w:cstheme="majorBidi" w:eastAsiaTheme="majorEastAsia" w:hAnsiTheme="majorHAnsi"/>
      <w:color w:val="2e74b5" w:themeColor="accent1" w:themeShade="0000BF"/>
      <w:sz w:val="26"/>
      <w:szCs w:val="26"/>
    </w:rPr>
  </w:style>
  <w:style w:type="paragraph" w:styleId="ListParagraph">
    <w:name w:val="List Paragraph"/>
    <w:basedOn w:val="Normal"/>
    <w:uiPriority w:val="34"/>
    <w:qFormat w:val="1"/>
    <w:rsid w:val="00F3278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nicola.salon" TargetMode="External"/><Relationship Id="rId9" Type="http://schemas.openxmlformats.org/officeDocument/2006/relationships/hyperlink" Target="mailto:info@nicola.sal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icola.salon" TargetMode="External"/><Relationship Id="rId8" Type="http://schemas.openxmlformats.org/officeDocument/2006/relationships/hyperlink" Target="https://nicola.salo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npZfScQzh+yDbLFHalqempPS0Q==">CgMxLjAyCGguZ2pkZ3hzOAByITF6TXQwMC1PaDJ5ejlucXNLN25HNzFxWHQtNENacEdUTA==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2022-04-28T10:13:00Z</dcterms:created>
  <dc:creator>123</dc:creator>
</cp:coreProperties>
</file>