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Confirmation of no contraindication and informed consent – Permanent make-up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address: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+420 606 057 157</w:t>
        <w:br w:type="textWrapping"/>
        <w:t xml:space="preserve">Company ID: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person: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not suitable for anyone with the conditions listed below.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any of these apply to you, the procedure cannot be performed.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below, you confirm that none of these contraindications apply to you.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Contraindications (medical conditions that exclude the procedure):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adverse reactions to tattooing dyes (pigments)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lidocaine or prilocaine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severe allergic reaction (anaphylaxis)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Hemophilia (bleeding disorder)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blood-thinning medication (e.g., Warfarin, Godasal, Anopyrin)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retinoids (e.g., Roaccutane, Curacne)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use of systemic corticosteroids (e.g., Prednisone, Medrol)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cancer treatment (e.g., chemotherapy, radiotherapy, biological therapy)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Skin disease or skin manifestations at the application site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Herpes (cold sores)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Acute infections (tonsillitis, flu, cough, cold)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ind w:left="720" w:right="-10.866141732282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Abrasions, bruises, inflammations, or any other injuries at the application site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Insufficiently healed surgical procedure at the application site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Genetic tendency to form keloid or hypertrophic scars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Immune disorders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Breastfeeding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3 days of menstruation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Botox or other injectable treatment at the application site within the last 14 days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Deep peeling or laser treatment at the application site within the last 2 months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Possible reactions after the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gentle, but temporary symptoms that resolve on their own may occur.</w:t>
      </w:r>
    </w:p>
    <w:p w:rsidR="00000000" w:rsidDel="00000000" w:rsidP="00000000" w:rsidRDefault="00000000" w:rsidRPr="00000000" w14:paraId="00000028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signing, I confirm that I have been informed of the following possible reactions: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Redness, mild bruising, or micro-bleeding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Temporary asymmetry caused by swelling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Itching, burning, or tightness at the application site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Formation of scabs and subsequent skin peeling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Temporary loss or significant change in color intensity during healing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Risk of cold sore outbreak (especially on the lips)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Mild skin irritation or reaction to used products</w:t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confirm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the listed risks and contraindications.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of the listed contraindications apply to me.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information I have provided is true.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undergoing the procedure voluntarily and with full awareness.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Frýdek-Místek on 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 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 .................................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.................................</w:t>
      </w:r>
    </w:p>
    <w:sectPr>
      <w:headerReference r:id="rId7" w:type="even"/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+wySysDzkjbYfhrXgp3yMpL4Q==">CgMxLjA4AHIhMWxNcEREV0tYdUNlM0M4YllpcnozdHU4RHk3eUVsZ2Vf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